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E0" w:rsidRPr="004A26E0" w:rsidRDefault="004A26E0" w:rsidP="004A26E0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A26E0" w:rsidRPr="004A26E0" w:rsidRDefault="004A26E0" w:rsidP="004A26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директора ГБОУ </w:t>
      </w:r>
      <w:proofErr w:type="gramStart"/>
      <w:r w:rsidRPr="004A26E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</w:p>
    <w:p w:rsidR="004A26E0" w:rsidRPr="004A26E0" w:rsidRDefault="004A26E0" w:rsidP="004A26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color w:val="000000"/>
          <w:sz w:val="24"/>
          <w:szCs w:val="24"/>
        </w:rPr>
        <w:t>«Краснотурьинская школа-интернат»</w:t>
      </w:r>
    </w:p>
    <w:p w:rsidR="004A26E0" w:rsidRPr="004A26E0" w:rsidRDefault="002E6580" w:rsidP="004A2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</w:t>
      </w:r>
      <w:r w:rsidR="004A26E0" w:rsidRPr="004A26E0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A26E0" w:rsidRPr="004A26E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2г. № 80</w:t>
      </w:r>
      <w:r w:rsidR="004A26E0" w:rsidRPr="004A26E0">
        <w:rPr>
          <w:rFonts w:ascii="Times New Roman" w:eastAsia="Times New Roman" w:hAnsi="Times New Roman" w:cs="Times New Roman"/>
          <w:sz w:val="24"/>
          <w:szCs w:val="24"/>
        </w:rPr>
        <w:t>/ОД</w:t>
      </w:r>
    </w:p>
    <w:p w:rsidR="004C6C25" w:rsidRPr="004A26E0" w:rsidRDefault="004C6C25" w:rsidP="004C6C25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6C25" w:rsidRPr="004A26E0" w:rsidRDefault="004C6C25" w:rsidP="004C6C25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D0E" w:rsidRPr="004A26E0" w:rsidRDefault="00562D0E" w:rsidP="00562D0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562D0E" w:rsidRPr="004A26E0" w:rsidRDefault="00562D0E" w:rsidP="00562D0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r w:rsidR="004C6C25" w:rsidRPr="004A26E0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 политике</w:t>
      </w:r>
      <w:r w:rsidR="004C6C25" w:rsidRPr="004A26E0">
        <w:rPr>
          <w:rFonts w:ascii="Times New Roman" w:eastAsia="Times New Roman" w:hAnsi="Times New Roman" w:cs="Times New Roman"/>
          <w:b/>
          <w:sz w:val="24"/>
          <w:szCs w:val="24"/>
        </w:rPr>
        <w:br/>
        <w:t>ГБ</w:t>
      </w:r>
      <w:r w:rsidRPr="004A26E0">
        <w:rPr>
          <w:rFonts w:ascii="Times New Roman" w:eastAsia="Times New Roman" w:hAnsi="Times New Roman" w:cs="Times New Roman"/>
          <w:b/>
          <w:sz w:val="24"/>
          <w:szCs w:val="24"/>
        </w:rPr>
        <w:t>ОУ СО</w:t>
      </w:r>
      <w:r w:rsidR="002E65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26E0">
        <w:rPr>
          <w:rFonts w:ascii="Times New Roman" w:eastAsia="Times New Roman" w:hAnsi="Times New Roman" w:cs="Times New Roman"/>
          <w:b/>
          <w:sz w:val="24"/>
          <w:szCs w:val="24"/>
        </w:rPr>
        <w:t>«Краснотурьинская школа-интернат»</w:t>
      </w:r>
    </w:p>
    <w:p w:rsidR="00562D0E" w:rsidRPr="004A26E0" w:rsidRDefault="00562D0E" w:rsidP="00562D0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D0E" w:rsidRPr="004A26E0" w:rsidRDefault="00562D0E" w:rsidP="00562D0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b/>
          <w:sz w:val="24"/>
          <w:szCs w:val="24"/>
        </w:rPr>
        <w:t>1. Основные положения  внедрения антикоррупционной политики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4C6C25" w:rsidRPr="004A26E0">
        <w:rPr>
          <w:rFonts w:ascii="Times New Roman" w:eastAsia="Times New Roman" w:hAnsi="Times New Roman" w:cs="Times New Roman"/>
          <w:sz w:val="24"/>
          <w:szCs w:val="24"/>
        </w:rPr>
        <w:t>Антикоррупционная политика  ГБ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t>ОУ СО «Краснотурьинская школа-интернат» (далее – школа)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4C6C25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A26E0">
        <w:rPr>
          <w:rFonts w:ascii="Times New Roman" w:eastAsia="Times New Roman" w:hAnsi="Times New Roman" w:cs="Times New Roman"/>
          <w:sz w:val="24"/>
          <w:szCs w:val="24"/>
        </w:rPr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273-ФЗ), постановление администрации города Барнаула № 1494 от 15 июля 2014 года «Об утверждении плана мероприятий по противодействию коррупции в администрации города, иных органах местного самоуправления на 2014-2015 года».</w:t>
      </w:r>
      <w:proofErr w:type="gramEnd"/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  Нормативными актами, регулирующими  антикоррупционную политику школы,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и другие локальные акты.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br/>
      </w:r>
      <w:r w:rsidRPr="004A26E0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со ст.13.3  Федерального закона № 273-ФЗ меры по предупреждению коррупции, принимаемые в организации, могут включать: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br/>
        <w:t>1) определение подразделений или должностных лиц, ответственных за профилактику корру</w:t>
      </w:r>
      <w:r w:rsidR="004C6C25" w:rsidRPr="004A26E0">
        <w:rPr>
          <w:rFonts w:ascii="Times New Roman" w:eastAsia="Times New Roman" w:hAnsi="Times New Roman" w:cs="Times New Roman"/>
          <w:sz w:val="24"/>
          <w:szCs w:val="24"/>
        </w:rPr>
        <w:t>пционных и иных правонарушений;</w:t>
      </w:r>
    </w:p>
    <w:p w:rsidR="004C6C25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2) сотрудничество организации </w:t>
      </w:r>
      <w:r w:rsidR="004C6C25" w:rsidRPr="004A26E0">
        <w:rPr>
          <w:rFonts w:ascii="Times New Roman" w:eastAsia="Times New Roman" w:hAnsi="Times New Roman" w:cs="Times New Roman"/>
          <w:sz w:val="24"/>
          <w:szCs w:val="24"/>
        </w:rPr>
        <w:t>с правоохранительными органами;</w:t>
      </w:r>
    </w:p>
    <w:p w:rsidR="004C6C25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</w:t>
      </w:r>
      <w:r w:rsidR="004C6C25" w:rsidRPr="004A26E0">
        <w:rPr>
          <w:rFonts w:ascii="Times New Roman" w:eastAsia="Times New Roman" w:hAnsi="Times New Roman" w:cs="Times New Roman"/>
          <w:sz w:val="24"/>
          <w:szCs w:val="24"/>
        </w:rPr>
        <w:t>росовестной работы организации;</w:t>
      </w:r>
    </w:p>
    <w:p w:rsidR="004C6C25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4) принятие кодекса этики и служебного по</w:t>
      </w:r>
      <w:r w:rsidR="004C6C25" w:rsidRPr="004A26E0">
        <w:rPr>
          <w:rFonts w:ascii="Times New Roman" w:eastAsia="Times New Roman" w:hAnsi="Times New Roman" w:cs="Times New Roman"/>
          <w:sz w:val="24"/>
          <w:szCs w:val="24"/>
        </w:rPr>
        <w:t>ведения работников организации;</w:t>
      </w:r>
    </w:p>
    <w:p w:rsidR="004C6C25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5) предотвращение и урег</w:t>
      </w:r>
      <w:r w:rsidR="004C6C25" w:rsidRPr="004A26E0">
        <w:rPr>
          <w:rFonts w:ascii="Times New Roman" w:eastAsia="Times New Roman" w:hAnsi="Times New Roman" w:cs="Times New Roman"/>
          <w:sz w:val="24"/>
          <w:szCs w:val="24"/>
        </w:rPr>
        <w:t>улирование конфликта интересов;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  <w:t>Антикоррупционная политика школы направлена на реализацию данных мер.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D0E" w:rsidRPr="004A26E0" w:rsidRDefault="00562D0E" w:rsidP="00562D0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b/>
          <w:sz w:val="24"/>
          <w:szCs w:val="24"/>
        </w:rPr>
        <w:t>2. Используемые в политике понятия и определения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gramStart"/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Коррупция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</w:t>
      </w:r>
      <w:proofErr w:type="gramEnd"/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2E658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Противодействие коррупции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Федеральный закон № 273-ФЗ):</w:t>
      </w:r>
    </w:p>
    <w:p w:rsidR="002E658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2E658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2E658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lastRenderedPageBreak/>
        <w:t>в) по минимизации и (или) ликвидации последствий коррупционных правонарушений.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br/>
      </w: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 Организация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t> – юридическое лицо независимо от формы собственности, организационно-правовой формы и отраслевой принадлежности.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 Контрагент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t> 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2E658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Взятка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 </w:t>
      </w:r>
      <w:proofErr w:type="gramStart"/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Коммерческий подкуп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t> 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Конфликт интересов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br/>
      </w: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 Личная заинтересованность работника (представителя организации)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t> 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D0E" w:rsidRPr="004A26E0" w:rsidRDefault="00562D0E" w:rsidP="00562D0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b/>
          <w:sz w:val="24"/>
          <w:szCs w:val="24"/>
        </w:rPr>
        <w:t>3. Основные принципы антикоррупционной  деятельности организации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  <w:t>Системы мер противодействия коррупции в школе основываться на следующих ключевых принципах: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соответствия политики организации действующему законодательству и общепринятым нормам.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личного примера руководства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вовлеченности работников.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соразмерности антикоррупционных процедур риску коррупции.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эффективности  антикоррупционных процедур.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4A26E0">
        <w:rPr>
          <w:rFonts w:ascii="Times New Roman" w:eastAsia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4A26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ответственности и неотвратимости наказания.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открытости  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постоянного контроля и регулярного мониторинга.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4A26E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62D0E" w:rsidRPr="004A26E0" w:rsidRDefault="00562D0E" w:rsidP="00562D0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b/>
          <w:sz w:val="24"/>
          <w:szCs w:val="24"/>
        </w:rPr>
        <w:t>4. Область применения политики и круг лиц, попадающих под ее действие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школы работы или предоставляющие услуги на основе гражданско-правовых договоров.  В этом случае соответствующие положения включаются в текст договоров.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D0E" w:rsidRPr="004A26E0" w:rsidRDefault="00562D0E" w:rsidP="00562D0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b/>
          <w:sz w:val="24"/>
          <w:szCs w:val="24"/>
        </w:rPr>
        <w:t>5.  Определение должностных лиц ОУ, ответственных за реализацию антикоррупционной  политики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4A26E0">
        <w:rPr>
          <w:rFonts w:ascii="Times New Roman" w:eastAsia="Times New Roman" w:hAnsi="Times New Roman" w:cs="Times New Roman"/>
          <w:sz w:val="24"/>
          <w:szCs w:val="24"/>
        </w:rPr>
        <w:t>оу</w:t>
      </w:r>
      <w:proofErr w:type="spellEnd"/>
      <w:r w:rsidRPr="004A26E0">
        <w:rPr>
          <w:rFonts w:ascii="Times New Roman" w:eastAsia="Times New Roman" w:hAnsi="Times New Roman" w:cs="Times New Roman"/>
          <w:sz w:val="24"/>
          <w:szCs w:val="24"/>
        </w:rPr>
        <w:t>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br/>
        <w:t>Задачи, функции и полномочия   директора в сфере противодействия коррупции определены его Должностной инструкцией.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  <w:t>Эти обязанности  включают в частности: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- разработку  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- организация проведения оценки коррупционных рисков;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- организация заполнения и рассмотрения деклараций о конфликте интересов;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- проведение оценки результатов антикоррупционной работы и подготовка соответствующих отчетных материалов Учредителю.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6E0" w:rsidRDefault="004A26E0" w:rsidP="00562D0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6E0" w:rsidRDefault="004A26E0" w:rsidP="00562D0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D0E" w:rsidRPr="004A26E0" w:rsidRDefault="00562D0E" w:rsidP="00562D0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  Определение и закрепление обязанностей работников в организации, связанных с предупреждением и противодействием коррупции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br/>
      </w:r>
      <w:r w:rsidRPr="004A26E0">
        <w:rPr>
          <w:rFonts w:ascii="Times New Roman" w:eastAsia="Times New Roman" w:hAnsi="Times New Roman" w:cs="Times New Roman"/>
          <w:sz w:val="24"/>
          <w:szCs w:val="24"/>
        </w:rPr>
        <w:tab/>
        <w:t>Общими обязанностями работников в связи с предупреждением и противодействием коррупции являются следующие: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 в интересах или от имени школы;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- 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- незамедлительно информировать непосредственного начальника, руководство организации о ставшей известной  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- сообщить непосредственному директору или иному ответственному лицу о возможности возникновения либо возникшем у работника конфликте интересов.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- В целях обеспечения эффективного исполнения возложенных на работников обязанностей   регламентируются процедуры их соблюдения.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br/>
        <w:t>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D0E" w:rsidRDefault="00562D0E" w:rsidP="00562D0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b/>
          <w:sz w:val="24"/>
          <w:szCs w:val="24"/>
        </w:rPr>
        <w:t>7. Установление перечня реализуемых  школой антикоррупционных мероприятий, стандартов и процедур и  порядок их выполнения (применения)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6960"/>
      </w:tblGrid>
      <w:tr w:rsidR="00562D0E" w:rsidRPr="00CD5263" w:rsidTr="00647E7B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562D0E" w:rsidRPr="00CD5263" w:rsidRDefault="00562D0E" w:rsidP="00562D0E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Направление</w:t>
            </w: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562D0E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</w:tr>
      <w:tr w:rsidR="00562D0E" w:rsidRPr="00CD5263" w:rsidTr="00647E7B">
        <w:trPr>
          <w:tblCellSpacing w:w="15" w:type="dxa"/>
        </w:trPr>
        <w:tc>
          <w:tcPr>
            <w:tcW w:w="2880" w:type="dxa"/>
            <w:vMerge w:val="restart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562D0E" w:rsidRPr="00CD5263" w:rsidTr="00647E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562D0E" w:rsidRPr="00CD5263" w:rsidTr="00647E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Разработка и принятие правил, регламентирующих вопросы обмена деловыми подарка</w:t>
            </w:r>
            <w:bookmarkStart w:id="0" w:name="_GoBack"/>
            <w:bookmarkEnd w:id="0"/>
            <w:r w:rsidRPr="00CD5263">
              <w:rPr>
                <w:rFonts w:ascii="Times New Roman" w:eastAsia="Times New Roman" w:hAnsi="Times New Roman" w:cs="Times New Roman"/>
              </w:rPr>
              <w:t>ми и знаками делового гостеприимства</w:t>
            </w:r>
          </w:p>
        </w:tc>
      </w:tr>
      <w:tr w:rsidR="00562D0E" w:rsidRPr="00CD5263" w:rsidTr="00647E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562D0E" w:rsidRPr="00CD5263" w:rsidTr="00647E7B">
        <w:trPr>
          <w:tblCellSpacing w:w="15" w:type="dxa"/>
        </w:trPr>
        <w:tc>
          <w:tcPr>
            <w:tcW w:w="2880" w:type="dxa"/>
            <w:vMerge w:val="restart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Разработка и введение специальных антикоррупционных процедур</w:t>
            </w: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562D0E" w:rsidRPr="00CD5263" w:rsidTr="00647E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CD5263">
              <w:rPr>
                <w:rFonts w:ascii="Times New Roman" w:eastAsia="Times New Roman" w:hAnsi="Times New Roman" w:cs="Times New Roman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 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562D0E" w:rsidRPr="00CD5263" w:rsidTr="00647E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562D0E" w:rsidRPr="00CD5263" w:rsidTr="00647E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562D0E" w:rsidRPr="00CD5263" w:rsidTr="00647E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 xml:space="preserve">Проведение периодической оценки коррупционных рисков в целях </w:t>
            </w:r>
            <w:r w:rsidRPr="00CD5263">
              <w:rPr>
                <w:rFonts w:ascii="Times New Roman" w:eastAsia="Times New Roman" w:hAnsi="Times New Roman" w:cs="Times New Roman"/>
              </w:rPr>
              <w:lastRenderedPageBreak/>
              <w:t>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562D0E" w:rsidRPr="00CD5263" w:rsidTr="00647E7B">
        <w:trPr>
          <w:tblCellSpacing w:w="15" w:type="dxa"/>
        </w:trPr>
        <w:tc>
          <w:tcPr>
            <w:tcW w:w="2880" w:type="dxa"/>
            <w:vMerge w:val="restart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lastRenderedPageBreak/>
              <w:t>Обучение и информирование работников</w:t>
            </w: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Ежегодное ознакомление работников под роспись с приказом, регламентирующим</w:t>
            </w:r>
            <w:r w:rsidRPr="00CD5263">
              <w:rPr>
                <w:rFonts w:ascii="Times New Roman" w:eastAsia="Times New Roman" w:hAnsi="Times New Roman" w:cs="Times New Roman"/>
              </w:rPr>
              <w:br/>
              <w:t>вопросы предупреждения и противодействия коррупции в организации</w:t>
            </w:r>
          </w:p>
        </w:tc>
      </w:tr>
      <w:tr w:rsidR="00562D0E" w:rsidRPr="00CD5263" w:rsidTr="00647E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562D0E" w:rsidRPr="00CD5263" w:rsidTr="00647E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562D0E" w:rsidRPr="00CD5263" w:rsidTr="00647E7B">
        <w:trPr>
          <w:tblCellSpacing w:w="15" w:type="dxa"/>
        </w:trPr>
        <w:tc>
          <w:tcPr>
            <w:tcW w:w="2880" w:type="dxa"/>
            <w:vMerge w:val="restart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Осуществление регулярного контроля соблюдения внутренних процедур</w:t>
            </w:r>
          </w:p>
        </w:tc>
      </w:tr>
      <w:tr w:rsidR="00562D0E" w:rsidRPr="00CD5263" w:rsidTr="00647E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562D0E" w:rsidRPr="00CD5263" w:rsidTr="00647E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562D0E" w:rsidRPr="00CD5263" w:rsidTr="00647E7B">
        <w:trPr>
          <w:tblCellSpacing w:w="15" w:type="dxa"/>
        </w:trPr>
        <w:tc>
          <w:tcPr>
            <w:tcW w:w="2880" w:type="dxa"/>
            <w:vMerge w:val="restart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562D0E" w:rsidRPr="00CD5263" w:rsidTr="00647E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D0E" w:rsidRPr="00CD5263" w:rsidRDefault="00562D0E" w:rsidP="00562D0E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5" w:type="dxa"/>
            <w:vAlign w:val="center"/>
            <w:hideMark/>
          </w:tcPr>
          <w:p w:rsidR="00562D0E" w:rsidRPr="00CD5263" w:rsidRDefault="00562D0E" w:rsidP="00647E7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5263">
              <w:rPr>
                <w:rFonts w:ascii="Times New Roman" w:eastAsia="Times New Roman" w:hAnsi="Times New Roman" w:cs="Times New Roman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562D0E" w:rsidRPr="004A26E0" w:rsidRDefault="00647E7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В качестве   приложения к антикоррупционной политике в школе ежегодно утверждается план реализации антикоррупционных мероприятий.</w:t>
      </w:r>
    </w:p>
    <w:p w:rsidR="00562D0E" w:rsidRPr="004A26E0" w:rsidRDefault="00562D0E" w:rsidP="004A26E0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b/>
          <w:sz w:val="24"/>
          <w:szCs w:val="24"/>
        </w:rPr>
        <w:t>8. Оценка коррупционных рисков</w:t>
      </w:r>
    </w:p>
    <w:p w:rsidR="00647E7B" w:rsidRPr="004A26E0" w:rsidRDefault="00647E7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  процессов и видов деятельности школы, при реализации которых наиболее высока вероятность совершения работниками организации коррупционных </w:t>
      </w:r>
      <w:proofErr w:type="gramStart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proofErr w:type="gramEnd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 xml:space="preserve"> как в целях получения личной выгоды, так и в целях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 получения выгоды организацией.</w:t>
      </w:r>
    </w:p>
    <w:p w:rsidR="00C82BBB" w:rsidRPr="004A26E0" w:rsidRDefault="00647E7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 Оценка коррупционных рисков  проводится как на стадии разработки антикоррупционной политики, так и после ее утверждения на регулярной основе и оформляется П</w:t>
      </w:r>
      <w:r w:rsidR="00C82BBB" w:rsidRPr="004A26E0">
        <w:rPr>
          <w:rFonts w:ascii="Times New Roman" w:eastAsia="Times New Roman" w:hAnsi="Times New Roman" w:cs="Times New Roman"/>
          <w:sz w:val="24"/>
          <w:szCs w:val="24"/>
        </w:rPr>
        <w:t>риложением к данному документу.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Порядок проведения оценки коррупционных рисков: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представить деятельность организации в виде отдельных  процессов, в каждом из которых выделить составные элементы (</w:t>
      </w:r>
      <w:proofErr w:type="spellStart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подпроцессы</w:t>
      </w:r>
      <w:proofErr w:type="spellEnd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C25" w:rsidRPr="004A26E0">
        <w:rPr>
          <w:rFonts w:ascii="Times New Roman" w:eastAsia="Times New Roman" w:hAnsi="Times New Roman" w:cs="Times New Roman"/>
          <w:sz w:val="24"/>
          <w:szCs w:val="24"/>
        </w:rPr>
        <w:t xml:space="preserve">выделить «критические точки» 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для каждого  процесса и определить те элементы (</w:t>
      </w:r>
      <w:proofErr w:type="spellStart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подпроцессы</w:t>
      </w:r>
      <w:proofErr w:type="spellEnd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), при реализации которых наиболее вероятно возникновен</w:t>
      </w:r>
      <w:r w:rsidR="004C6C25" w:rsidRPr="004A26E0">
        <w:rPr>
          <w:rFonts w:ascii="Times New Roman" w:eastAsia="Times New Roman" w:hAnsi="Times New Roman" w:cs="Times New Roman"/>
          <w:sz w:val="24"/>
          <w:szCs w:val="24"/>
        </w:rPr>
        <w:t>ие коррупционных правонарушений;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подпроцесса</w:t>
      </w:r>
      <w:proofErr w:type="spellEnd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4C6C25" w:rsidRPr="004A26E0" w:rsidRDefault="004C6C25" w:rsidP="004C6C25">
      <w:pPr>
        <w:pStyle w:val="a7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характеристику выгоды или преимущества, которое может быть получено организацией или ее отдельными работниками при совершении «ко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t>ррупционного правонарушения»;</w:t>
      </w:r>
    </w:p>
    <w:p w:rsidR="00562D0E" w:rsidRPr="004A26E0" w:rsidRDefault="004C6C25" w:rsidP="004C6C25">
      <w:pPr>
        <w:pStyle w:val="a7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t>авонарушения стало возможным;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вероятные формы осуществления коррупционных платежей.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— сводное описание «критических точек» и возможных коррупционных правонарушений.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Разработать комплекс мер по устранению или минимизации коррупционных рисков.</w:t>
      </w:r>
    </w:p>
    <w:p w:rsidR="00562D0E" w:rsidRPr="004A26E0" w:rsidRDefault="00C82BBB" w:rsidP="00C82BBB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</w:t>
      </w:r>
      <w:r w:rsidR="00562D0E" w:rsidRPr="004A26E0">
        <w:rPr>
          <w:rFonts w:ascii="Times New Roman" w:eastAsia="Times New Roman" w:hAnsi="Times New Roman" w:cs="Times New Roman"/>
          <w:b/>
          <w:sz w:val="24"/>
          <w:szCs w:val="24"/>
        </w:rPr>
        <w:t>. Ответственность  сотрудников за несоблюдение требований антикоррупционной политики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br/>
      </w: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С целью регулирования и предотвращения конфликта интересов в деятельности своих работников в школе действуе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т Положение о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конфликте интересов.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Данное положение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  В него включены следующие аспекты: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репутационных</w:t>
      </w:r>
      <w:proofErr w:type="spellEnd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82BBB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В организации возможно установление различных видов раскрытия конфликта интересов, в том числе: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C82BBB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t>ей фиксацией в письменном виде.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Школа берёт на себя обязательство конфиденциального рассмотрения представленных сведений и урегулирования конфликта интересов.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lastRenderedPageBreak/>
        <w:t>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добровольный отказ работника школы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C82BBB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br/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Ответственными за прием сведений о возникающих (имеющихся) конфликтах интересов  явл</w:t>
      </w:r>
      <w:r w:rsidRPr="004A26E0">
        <w:rPr>
          <w:rFonts w:ascii="Times New Roman" w:eastAsia="Times New Roman" w:hAnsi="Times New Roman" w:cs="Times New Roman"/>
          <w:sz w:val="24"/>
          <w:szCs w:val="24"/>
        </w:rPr>
        <w:t>яются  кадровик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, директор. Рассмотрение полученной информации целесообразно проводить коллегиально.</w:t>
      </w:r>
    </w:p>
    <w:p w:rsidR="00562D0E" w:rsidRPr="004A26E0" w:rsidRDefault="00647E7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 xml:space="preserve">В школе должно проводиться </w:t>
      </w:r>
      <w:proofErr w:type="gramStart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обучения работников по вопросам</w:t>
      </w:r>
      <w:proofErr w:type="gramEnd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Обучение  проводится по следующей тематике:</w:t>
      </w:r>
    </w:p>
    <w:p w:rsidR="00562D0E" w:rsidRPr="004A26E0" w:rsidRDefault="00647E7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коррупция в государственном и частном секторах экономики (теоретическая);</w:t>
      </w:r>
    </w:p>
    <w:p w:rsidR="00562D0E" w:rsidRPr="004A26E0" w:rsidRDefault="00647E7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юридическая ответственность за совершение коррупционных правонарушений;</w:t>
      </w:r>
    </w:p>
    <w:p w:rsidR="00562D0E" w:rsidRPr="004A26E0" w:rsidRDefault="00647E7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прикладная</w:t>
      </w:r>
      <w:proofErr w:type="gramEnd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62D0E" w:rsidRPr="004A26E0" w:rsidRDefault="00647E7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выявление и разрешение конфликта интересов при выполнении трудовых обязанностей (</w:t>
      </w:r>
      <w:proofErr w:type="gramStart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прикладная</w:t>
      </w:r>
      <w:proofErr w:type="gramEnd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62D0E" w:rsidRPr="004A26E0" w:rsidRDefault="00647E7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562D0E" w:rsidRPr="004A26E0" w:rsidRDefault="00647E7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прикладная</w:t>
      </w:r>
      <w:proofErr w:type="gramEnd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62D0E" w:rsidRPr="004A26E0" w:rsidRDefault="00647E7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Консультирование по вопросам противодействия коррупции обычно осуществляется в индивидуальном порядке.</w:t>
      </w:r>
    </w:p>
    <w:p w:rsidR="00562D0E" w:rsidRPr="004A26E0" w:rsidRDefault="00647E7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Федеральным законом от 6 декабря 2011 г. № 402-ФЗ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br/>
        <w:t xml:space="preserve">«О бухгалтерском учете» установлена обязанность для всех организаций </w:t>
      </w:r>
      <w:proofErr w:type="gramStart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proofErr w:type="gramEnd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lastRenderedPageBreak/>
        <w:t>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562D0E" w:rsidRPr="004A26E0" w:rsidRDefault="00C82BB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</w:t>
      </w:r>
      <w:r w:rsidR="00647E7B"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562D0E" w:rsidRPr="004A26E0" w:rsidRDefault="00647E7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562D0E" w:rsidRPr="004A26E0" w:rsidRDefault="00647E7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562D0E" w:rsidRPr="004A26E0" w:rsidRDefault="00562D0E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647E7B" w:rsidRPr="004A26E0" w:rsidRDefault="00647E7B" w:rsidP="00C82BB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End"/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</w:t>
      </w:r>
    </w:p>
    <w:p w:rsidR="00C82BBB" w:rsidRPr="004A26E0" w:rsidRDefault="00C82BBB" w:rsidP="00C82BB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D0E" w:rsidRPr="004A26E0" w:rsidRDefault="00C82BBB" w:rsidP="00647E7B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562D0E" w:rsidRPr="004A26E0">
        <w:rPr>
          <w:rFonts w:ascii="Times New Roman" w:eastAsia="Times New Roman" w:hAnsi="Times New Roman" w:cs="Times New Roman"/>
          <w:b/>
          <w:sz w:val="24"/>
          <w:szCs w:val="24"/>
        </w:rPr>
        <w:t>.Порядок пересмотра и внесения изменений в антикоррупционную политику организации</w:t>
      </w:r>
    </w:p>
    <w:p w:rsidR="00562D0E" w:rsidRPr="004A26E0" w:rsidRDefault="00647E7B" w:rsidP="00562D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E0">
        <w:rPr>
          <w:rFonts w:ascii="Times New Roman" w:eastAsia="Times New Roman" w:hAnsi="Times New Roman" w:cs="Times New Roman"/>
          <w:sz w:val="24"/>
          <w:szCs w:val="24"/>
        </w:rPr>
        <w:tab/>
      </w:r>
      <w:r w:rsidR="00562D0E" w:rsidRPr="004A26E0">
        <w:rPr>
          <w:rFonts w:ascii="Times New Roman" w:eastAsia="Times New Roman" w:hAnsi="Times New Roman" w:cs="Times New Roman"/>
          <w:sz w:val="24"/>
          <w:szCs w:val="24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D711E4" w:rsidRPr="004A26E0" w:rsidRDefault="00D711E4" w:rsidP="00562D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D711E4" w:rsidRPr="004A26E0" w:rsidSect="004A26E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1B8"/>
    <w:multiLevelType w:val="multilevel"/>
    <w:tmpl w:val="57F0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4CA"/>
    <w:multiLevelType w:val="multilevel"/>
    <w:tmpl w:val="11AA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B52C2"/>
    <w:multiLevelType w:val="multilevel"/>
    <w:tmpl w:val="55CE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575FD"/>
    <w:multiLevelType w:val="multilevel"/>
    <w:tmpl w:val="7C60C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3511D"/>
    <w:multiLevelType w:val="multilevel"/>
    <w:tmpl w:val="1886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032B7"/>
    <w:multiLevelType w:val="multilevel"/>
    <w:tmpl w:val="BD78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E6C2B"/>
    <w:multiLevelType w:val="multilevel"/>
    <w:tmpl w:val="11D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362A6"/>
    <w:multiLevelType w:val="multilevel"/>
    <w:tmpl w:val="77D00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34E7D"/>
    <w:multiLevelType w:val="multilevel"/>
    <w:tmpl w:val="CDE4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20B1B"/>
    <w:multiLevelType w:val="multilevel"/>
    <w:tmpl w:val="5BE8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10265"/>
    <w:multiLevelType w:val="multilevel"/>
    <w:tmpl w:val="0BD2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C16A5"/>
    <w:multiLevelType w:val="multilevel"/>
    <w:tmpl w:val="E9DA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72BE8"/>
    <w:multiLevelType w:val="multilevel"/>
    <w:tmpl w:val="420E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1A51D1"/>
    <w:multiLevelType w:val="multilevel"/>
    <w:tmpl w:val="F35E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4774E"/>
    <w:multiLevelType w:val="multilevel"/>
    <w:tmpl w:val="834C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503F35"/>
    <w:multiLevelType w:val="multilevel"/>
    <w:tmpl w:val="2946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DF756D"/>
    <w:multiLevelType w:val="multilevel"/>
    <w:tmpl w:val="38B6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694A35"/>
    <w:multiLevelType w:val="multilevel"/>
    <w:tmpl w:val="4E86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284AD6"/>
    <w:multiLevelType w:val="multilevel"/>
    <w:tmpl w:val="8302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826C8F"/>
    <w:multiLevelType w:val="multilevel"/>
    <w:tmpl w:val="EE34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2F0ECD"/>
    <w:multiLevelType w:val="multilevel"/>
    <w:tmpl w:val="01CE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2E7AD4"/>
    <w:multiLevelType w:val="multilevel"/>
    <w:tmpl w:val="ED02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EC12A5"/>
    <w:multiLevelType w:val="multilevel"/>
    <w:tmpl w:val="1594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4"/>
  </w:num>
  <w:num w:numId="6">
    <w:abstractNumId w:val="13"/>
  </w:num>
  <w:num w:numId="7">
    <w:abstractNumId w:val="12"/>
  </w:num>
  <w:num w:numId="8">
    <w:abstractNumId w:val="5"/>
  </w:num>
  <w:num w:numId="9">
    <w:abstractNumId w:val="10"/>
  </w:num>
  <w:num w:numId="10">
    <w:abstractNumId w:val="21"/>
  </w:num>
  <w:num w:numId="11">
    <w:abstractNumId w:val="15"/>
  </w:num>
  <w:num w:numId="12">
    <w:abstractNumId w:val="0"/>
  </w:num>
  <w:num w:numId="13">
    <w:abstractNumId w:val="6"/>
  </w:num>
  <w:num w:numId="14">
    <w:abstractNumId w:val="20"/>
  </w:num>
  <w:num w:numId="15">
    <w:abstractNumId w:val="9"/>
  </w:num>
  <w:num w:numId="16">
    <w:abstractNumId w:val="18"/>
  </w:num>
  <w:num w:numId="17">
    <w:abstractNumId w:val="16"/>
  </w:num>
  <w:num w:numId="18">
    <w:abstractNumId w:val="22"/>
  </w:num>
  <w:num w:numId="19">
    <w:abstractNumId w:val="1"/>
  </w:num>
  <w:num w:numId="20">
    <w:abstractNumId w:val="8"/>
  </w:num>
  <w:num w:numId="21">
    <w:abstractNumId w:val="11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D0E"/>
    <w:rsid w:val="002E6580"/>
    <w:rsid w:val="004A26E0"/>
    <w:rsid w:val="004C6C25"/>
    <w:rsid w:val="00562D0E"/>
    <w:rsid w:val="00647E7B"/>
    <w:rsid w:val="00B3351F"/>
    <w:rsid w:val="00C82BBB"/>
    <w:rsid w:val="00CD5263"/>
    <w:rsid w:val="00D711E4"/>
    <w:rsid w:val="00FB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2D0E"/>
    <w:rPr>
      <w:b/>
      <w:bCs/>
    </w:rPr>
  </w:style>
  <w:style w:type="character" w:styleId="a5">
    <w:name w:val="Emphasis"/>
    <w:basedOn w:val="a0"/>
    <w:uiPriority w:val="20"/>
    <w:qFormat/>
    <w:rsid w:val="00562D0E"/>
    <w:rPr>
      <w:i/>
      <w:iCs/>
    </w:rPr>
  </w:style>
  <w:style w:type="character" w:styleId="a6">
    <w:name w:val="Hyperlink"/>
    <w:basedOn w:val="a0"/>
    <w:uiPriority w:val="99"/>
    <w:semiHidden/>
    <w:unhideWhenUsed/>
    <w:rsid w:val="00562D0E"/>
    <w:rPr>
      <w:color w:val="0000FF"/>
      <w:u w:val="single"/>
    </w:rPr>
  </w:style>
  <w:style w:type="paragraph" w:styleId="a7">
    <w:name w:val="No Spacing"/>
    <w:uiPriority w:val="1"/>
    <w:qFormat/>
    <w:rsid w:val="00562D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E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66CB-0AB5-491D-AFEF-7139EC8B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3912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Rozoviy13sloN@yandex.ru</cp:lastModifiedBy>
  <cp:revision>7</cp:revision>
  <cp:lastPrinted>2022-07-18T09:00:00Z</cp:lastPrinted>
  <dcterms:created xsi:type="dcterms:W3CDTF">2019-05-22T03:49:00Z</dcterms:created>
  <dcterms:modified xsi:type="dcterms:W3CDTF">2022-07-18T10:45:00Z</dcterms:modified>
</cp:coreProperties>
</file>